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CE33B0" w:rsidRPr="00F13A71" w:rsidRDefault="00CE33B0" w:rsidP="00CE33B0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:rsidR="00CE33B0" w:rsidRPr="00F13A71" w:rsidRDefault="00CE33B0" w:rsidP="00CE33B0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Pr="00AF2650">
        <w:rPr>
          <w:rFonts w:ascii="Verdana" w:hAnsi="Verdana"/>
          <w:sz w:val="20"/>
          <w:szCs w:val="20"/>
        </w:rPr>
        <w:t>spoločnosť KARMEN - veľkoobchod potravín s.r.o.,</w:t>
      </w:r>
      <w:r w:rsidRPr="00AF2650">
        <w:rPr>
          <w:b/>
          <w:bCs/>
          <w:sz w:val="20"/>
          <w:szCs w:val="20"/>
        </w:rPr>
        <w:t xml:space="preserve"> </w:t>
      </w:r>
      <w:r w:rsidRPr="00AF2650">
        <w:rPr>
          <w:rFonts w:ascii="Verdana" w:hAnsi="Verdana"/>
          <w:sz w:val="20"/>
          <w:szCs w:val="20"/>
        </w:rPr>
        <w:t>Strojnícka 15, Prešov 080 01, IČO 36 447 269, email:</w:t>
      </w:r>
      <w:r>
        <w:rPr>
          <w:rStyle w:val="ra"/>
          <w:sz w:val="24"/>
          <w:szCs w:val="24"/>
        </w:rPr>
        <w:t xml:space="preserve"> </w:t>
      </w:r>
      <w:r w:rsidRPr="001B1B00">
        <w:rPr>
          <w:rStyle w:val="ra"/>
          <w:sz w:val="24"/>
          <w:szCs w:val="24"/>
        </w:rPr>
        <w:t>ochranaosobnychudajov@karmen.sk</w:t>
      </w:r>
    </w:p>
    <w:p w:rsidR="00CE33B0" w:rsidRPr="00F13A71" w:rsidRDefault="00CE33B0" w:rsidP="00CE33B0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</w:p>
    <w:p w:rsidR="001B28BA" w:rsidRPr="00F13A71" w:rsidRDefault="00CE33B0" w:rsidP="00CE33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dpo</w:t>
      </w: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@proenergy.sk</w:t>
      </w:r>
    </w:p>
    <w:p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:rsidR="007C391A" w:rsidRPr="00F13A71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:rsidR="00036562" w:rsidRPr="00F13A71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:rsidR="00C1094C" w:rsidRPr="00F13A71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r w:rsidR="00CE33B0" w:rsidRPr="001B1B00">
        <w:rPr>
          <w:rFonts w:ascii="Verdana" w:hAnsi="Verdana"/>
          <w:sz w:val="20"/>
          <w:szCs w:val="20"/>
        </w:rPr>
        <w:t>ochranaosobnychudajov@karmen.sk</w:t>
      </w:r>
      <w:r w:rsidR="00251E6F" w:rsidRPr="00F13A71">
        <w:rPr>
          <w:rFonts w:ascii="Verdana" w:hAnsi="Verdana"/>
          <w:sz w:val="20"/>
          <w:szCs w:val="20"/>
        </w:rPr>
        <w:t xml:space="preserve"> , alebo písomne na adresu prevádzkovateľa.</w:t>
      </w: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33B0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3BF1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rsid w:val="00CE3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Hulek</cp:lastModifiedBy>
  <cp:revision>23</cp:revision>
  <dcterms:created xsi:type="dcterms:W3CDTF">2018-03-07T13:34:00Z</dcterms:created>
  <dcterms:modified xsi:type="dcterms:W3CDTF">2020-06-03T07:39:00Z</dcterms:modified>
</cp:coreProperties>
</file>